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Utsaah" w:hAnsi="Utsaah" w:cs="Utsaah"/>
          <w:sz w:val="24"/>
          <w:szCs w:val="24"/>
        </w:rPr>
      </w:pPr>
    </w:p>
    <w:p>
      <w:pPr>
        <w:rPr>
          <w:rFonts w:ascii="Utsaah" w:hAnsi="Utsaah" w:eastAsia="宋体" w:cs="Utsaah"/>
          <w:b/>
          <w:bCs/>
          <w:kern w:val="36"/>
          <w:sz w:val="64"/>
          <w:szCs w:val="64"/>
        </w:rPr>
      </w:pPr>
      <w:r>
        <w:rPr>
          <w:rFonts w:hint="eastAsia" w:ascii="Utsaah" w:hAnsi="Utsaah" w:eastAsia="宋体" w:cs="Utsaah"/>
          <w:b/>
          <w:bCs/>
          <w:kern w:val="36"/>
          <w:sz w:val="64"/>
          <w:szCs w:val="64"/>
        </w:rPr>
        <w:t>CA39</w:t>
      </w:r>
      <w:r>
        <w:rPr>
          <w:rFonts w:ascii="Utsaah" w:hAnsi="Utsaah" w:eastAsia="宋体" w:cs="Utsaah"/>
          <w:b/>
          <w:bCs/>
          <w:kern w:val="36"/>
          <w:sz w:val="64"/>
          <w:szCs w:val="64"/>
        </w:rPr>
        <w:t>7</w:t>
      </w:r>
      <w:r>
        <w:rPr>
          <w:rFonts w:hint="eastAsia" w:ascii="Utsaah" w:hAnsi="Utsaah" w:eastAsia="宋体" w:cs="Utsaah"/>
          <w:b/>
          <w:bCs/>
          <w:kern w:val="36"/>
          <w:sz w:val="64"/>
          <w:szCs w:val="64"/>
        </w:rPr>
        <w:t>-智医通（SmartMedConnect）</w:t>
      </w: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sdt>
      <w:sdtPr>
        <w:rPr>
          <w:rFonts w:asciiTheme="minorHAnsi" w:hAnsiTheme="minorHAnsi" w:eastAsiaTheme="minorEastAsia" w:cstheme="minorBidi"/>
          <w:b w:val="0"/>
          <w:bCs w:val="0"/>
          <w:color w:val="auto"/>
          <w:kern w:val="2"/>
          <w:szCs w:val="22"/>
          <w:lang w:val="zh-CN"/>
        </w:rPr>
        <w:id w:val="905571744"/>
      </w:sdtPr>
      <w:sdtEndPr>
        <w:rPr>
          <w:rFonts w:asciiTheme="minorHAnsi" w:hAnsiTheme="minorHAnsi" w:eastAsiaTheme="minorEastAsia" w:cstheme="minorBidi"/>
          <w:b w:val="0"/>
          <w:bCs w:val="0"/>
          <w:color w:val="auto"/>
          <w:kern w:val="2"/>
          <w:szCs w:val="22"/>
          <w:lang w:val="zh-CN"/>
        </w:rPr>
      </w:sdtEndPr>
      <w:sdtContent>
        <w:p>
          <w:pPr>
            <w:pStyle w:val="24"/>
          </w:pPr>
          <w:r>
            <w:rPr>
              <w:lang w:val="zh-CN"/>
            </w:rPr>
            <w:t>目录</w:t>
          </w:r>
        </w:p>
        <w:p>
          <w:pPr>
            <w:pStyle w:val="11"/>
            <w:tabs>
              <w:tab w:val="right" w:leader="dot" w:pos="8296"/>
            </w:tabs>
            <w:rPr>
              <w:sz w:val="21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"_Toc191113270" </w:instrText>
          </w:r>
          <w:r>
            <w:fldChar w:fldCharType="separate"/>
          </w:r>
          <w:r>
            <w:rPr>
              <w:rStyle w:val="16"/>
            </w:rPr>
            <w:t xml:space="preserve">1. </w:t>
          </w:r>
          <w:r>
            <w:rPr>
              <w:rStyle w:val="16"/>
              <w:rFonts w:hint="eastAsia"/>
            </w:rPr>
            <w:t>产品数据管理（</w:t>
          </w:r>
          <w:r>
            <w:rPr>
              <w:rStyle w:val="16"/>
            </w:rPr>
            <w:t>PDM  Product Data Management</w:t>
          </w:r>
          <w:r>
            <w:rPr>
              <w:rStyle w:val="16"/>
              <w:rFonts w:hint="eastAsia"/>
            </w:rPr>
            <w:t>）</w:t>
          </w:r>
          <w:r>
            <w:tab/>
          </w:r>
          <w:r>
            <w:fldChar w:fldCharType="begin"/>
          </w:r>
          <w:r>
            <w:instrText xml:space="preserve"> PAGEREF _Toc191113270 \h </w:instrText>
          </w:r>
          <w:r>
            <w:fldChar w:fldCharType="separate"/>
          </w:r>
          <w:r>
            <w:t>- 3 -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296"/>
            </w:tabs>
            <w:rPr>
              <w:sz w:val="21"/>
            </w:rPr>
          </w:pPr>
          <w:r>
            <w:fldChar w:fldCharType="begin"/>
          </w:r>
          <w:r>
            <w:instrText xml:space="preserve"> HYPERLINK \l "_Toc191113271" </w:instrText>
          </w:r>
          <w:r>
            <w:fldChar w:fldCharType="separate"/>
          </w:r>
          <w:r>
            <w:rPr>
              <w:rStyle w:val="16"/>
            </w:rPr>
            <w:t xml:space="preserve">2. </w:t>
          </w:r>
          <w:r>
            <w:rPr>
              <w:rStyle w:val="16"/>
              <w:rFonts w:hint="eastAsia"/>
            </w:rPr>
            <w:t>研发与设计管理</w:t>
          </w:r>
          <w:r>
            <w:tab/>
          </w:r>
          <w:r>
            <w:fldChar w:fldCharType="begin"/>
          </w:r>
          <w:r>
            <w:instrText xml:space="preserve"> PAGEREF _Toc191113271 \h </w:instrText>
          </w:r>
          <w:r>
            <w:fldChar w:fldCharType="separate"/>
          </w:r>
          <w:r>
            <w:t>- 4 -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296"/>
            </w:tabs>
            <w:rPr>
              <w:sz w:val="21"/>
            </w:rPr>
          </w:pPr>
          <w:r>
            <w:fldChar w:fldCharType="begin"/>
          </w:r>
          <w:r>
            <w:instrText xml:space="preserve"> HYPERLINK \l "_Toc191113272" </w:instrText>
          </w:r>
          <w:r>
            <w:fldChar w:fldCharType="separate"/>
          </w:r>
          <w:r>
            <w:rPr>
              <w:rStyle w:val="16"/>
            </w:rPr>
            <w:t xml:space="preserve">3. </w:t>
          </w:r>
          <w:r>
            <w:rPr>
              <w:rStyle w:val="16"/>
              <w:rFonts w:hint="eastAsia"/>
            </w:rPr>
            <w:t>供应链与采购管理</w:t>
          </w:r>
          <w:r>
            <w:tab/>
          </w:r>
          <w:r>
            <w:fldChar w:fldCharType="begin"/>
          </w:r>
          <w:r>
            <w:instrText xml:space="preserve"> PAGEREF _Toc191113272 \h </w:instrText>
          </w:r>
          <w:r>
            <w:fldChar w:fldCharType="separate"/>
          </w:r>
          <w:r>
            <w:t>- 4 -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296"/>
            </w:tabs>
            <w:rPr>
              <w:sz w:val="21"/>
            </w:rPr>
          </w:pPr>
          <w:r>
            <w:fldChar w:fldCharType="begin"/>
          </w:r>
          <w:r>
            <w:instrText xml:space="preserve"> HYPERLINK \l "_Toc191113273" </w:instrText>
          </w:r>
          <w:r>
            <w:fldChar w:fldCharType="separate"/>
          </w:r>
          <w:r>
            <w:rPr>
              <w:rStyle w:val="16"/>
            </w:rPr>
            <w:t xml:space="preserve">4. </w:t>
          </w:r>
          <w:r>
            <w:rPr>
              <w:rStyle w:val="16"/>
              <w:rFonts w:hint="eastAsia"/>
            </w:rPr>
            <w:t>生产与制造管理</w:t>
          </w:r>
          <w:r>
            <w:tab/>
          </w:r>
          <w:r>
            <w:fldChar w:fldCharType="begin"/>
          </w:r>
          <w:r>
            <w:instrText xml:space="preserve"> PAGEREF _Toc191113273 \h </w:instrText>
          </w:r>
          <w:r>
            <w:fldChar w:fldCharType="separate"/>
          </w:r>
          <w:r>
            <w:t>- 5 -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296"/>
            </w:tabs>
            <w:rPr>
              <w:sz w:val="21"/>
            </w:rPr>
          </w:pPr>
          <w:r>
            <w:fldChar w:fldCharType="begin"/>
          </w:r>
          <w:r>
            <w:instrText xml:space="preserve"> HYPERLINK \l "_Toc191113274" </w:instrText>
          </w:r>
          <w:r>
            <w:fldChar w:fldCharType="separate"/>
          </w:r>
          <w:r>
            <w:rPr>
              <w:rStyle w:val="16"/>
            </w:rPr>
            <w:t xml:space="preserve">5. </w:t>
          </w:r>
          <w:r>
            <w:rPr>
              <w:rStyle w:val="16"/>
              <w:rFonts w:hint="eastAsia"/>
            </w:rPr>
            <w:t>售后与维护管理</w:t>
          </w:r>
          <w:r>
            <w:tab/>
          </w:r>
          <w:r>
            <w:fldChar w:fldCharType="begin"/>
          </w:r>
          <w:r>
            <w:instrText xml:space="preserve"> PAGEREF _Toc191113274 \h </w:instrText>
          </w:r>
          <w:r>
            <w:fldChar w:fldCharType="separate"/>
          </w:r>
          <w:r>
            <w:t>- 6 -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296"/>
            </w:tabs>
            <w:rPr>
              <w:sz w:val="21"/>
            </w:rPr>
          </w:pPr>
          <w:r>
            <w:fldChar w:fldCharType="begin"/>
          </w:r>
          <w:r>
            <w:instrText xml:space="preserve"> HYPERLINK \l "_Toc191113275" </w:instrText>
          </w:r>
          <w:r>
            <w:fldChar w:fldCharType="separate"/>
          </w:r>
          <w:r>
            <w:rPr>
              <w:rStyle w:val="16"/>
            </w:rPr>
            <w:t xml:space="preserve">6. </w:t>
          </w:r>
          <w:r>
            <w:rPr>
              <w:rStyle w:val="16"/>
              <w:rFonts w:hint="eastAsia"/>
            </w:rPr>
            <w:t>数据分析与报表</w:t>
          </w:r>
          <w:r>
            <w:tab/>
          </w:r>
          <w:r>
            <w:fldChar w:fldCharType="begin"/>
          </w:r>
          <w:r>
            <w:instrText xml:space="preserve"> PAGEREF _Toc191113275 \h </w:instrText>
          </w:r>
          <w:r>
            <w:fldChar w:fldCharType="separate"/>
          </w:r>
          <w:r>
            <w:t>- 6 -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296"/>
            </w:tabs>
            <w:rPr>
              <w:sz w:val="21"/>
            </w:rPr>
          </w:pPr>
          <w:r>
            <w:fldChar w:fldCharType="begin"/>
          </w:r>
          <w:r>
            <w:instrText xml:space="preserve"> HYPERLINK \l "_Toc191113276" </w:instrText>
          </w:r>
          <w:r>
            <w:fldChar w:fldCharType="separate"/>
          </w:r>
          <w:r>
            <w:rPr>
              <w:rStyle w:val="16"/>
            </w:rPr>
            <w:t xml:space="preserve">7. </w:t>
          </w:r>
          <w:r>
            <w:rPr>
              <w:rStyle w:val="16"/>
              <w:rFonts w:hint="eastAsia"/>
            </w:rPr>
            <w:t>访问控制与系统管理</w:t>
          </w:r>
          <w:r>
            <w:tab/>
          </w:r>
          <w:r>
            <w:fldChar w:fldCharType="begin"/>
          </w:r>
          <w:r>
            <w:instrText xml:space="preserve"> PAGEREF _Toc191113276 \h </w:instrText>
          </w:r>
          <w:r>
            <w:fldChar w:fldCharType="separate"/>
          </w:r>
          <w:r>
            <w:t>- 7 -</w:t>
          </w:r>
          <w:r>
            <w:fldChar w:fldCharType="end"/>
          </w:r>
          <w:r>
            <w:fldChar w:fldCharType="end"/>
          </w:r>
        </w:p>
        <w:p>
          <w:r>
            <w:rPr>
              <w:b/>
              <w:bCs/>
              <w:lang w:val="zh-CN"/>
            </w:rPr>
            <w:fldChar w:fldCharType="end"/>
          </w:r>
        </w:p>
      </w:sdtContent>
    </w:sdt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  <w:r>
        <w:rPr>
          <w:rFonts w:hint="eastAsia" w:asciiTheme="majorEastAsia" w:hAnsiTheme="majorEastAsia" w:eastAsiaTheme="majorEastAsia"/>
          <w:b/>
          <w:sz w:val="52"/>
          <w:szCs w:val="52"/>
        </w:rPr>
        <w:t>智医通（SmartMedConnect）</w:t>
      </w:r>
    </w:p>
    <w:p>
      <w:pPr>
        <w:rPr>
          <w:rFonts w:ascii="Calibri" w:hAnsi="Calibri" w:cs="Calibri"/>
        </w:rPr>
      </w:pPr>
    </w:p>
    <w:p>
      <w:pPr>
        <w:rPr>
          <w:rFonts w:hint="eastAsia" w:ascii="Calibri" w:hAnsi="Calibri" w:cs="Calibri"/>
        </w:rPr>
      </w:pPr>
      <w:r>
        <w:rPr>
          <w:rFonts w:hint="eastAsia" w:ascii="Calibri" w:hAnsi="Calibri" w:cs="Calibri"/>
        </w:rPr>
        <w:t>医疗诊所管理系统将涵盖从预约挂号、诊疗管理、药品管理到财务结算的完整流程，以下是详细功能模块及具体功能：</w:t>
      </w:r>
    </w:p>
    <w:p>
      <w:pPr>
        <w:rPr>
          <w:rFonts w:ascii="Calibri" w:hAnsi="Calibri" w:cs="Calibri"/>
        </w:rPr>
      </w:pPr>
    </w:p>
    <w:p>
      <w:pPr>
        <w:pStyle w:val="2"/>
        <w:rPr>
          <w:rFonts w:hint="eastAsia"/>
        </w:rPr>
      </w:pPr>
      <w:r>
        <w:rPr>
          <w:rFonts w:hint="eastAsia"/>
        </w:rPr>
        <w:t xml:space="preserve"> 1. 预约与挂号管理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在线预约：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通过手机号、微信或会员系统预约医生或科室。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预约时间段选择，支持自动分配医生。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预约提醒（短信/微信通知）。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现场挂号：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现场患者登记信息，选择医生或科室。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生成挂号单，支持纸质打印或电子票据。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预约取消与修改：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支持患者自行取消或修改预约时间。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预约超时未报到自动释放号源。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医生排班管理：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设置医生出诊时间、节假日调整。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预约满员提示，避免超额挂号。</w:t>
      </w:r>
    </w:p>
    <w:p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  </w:t>
      </w:r>
    </w:p>
    <w:p>
      <w:pPr>
        <w:pStyle w:val="2"/>
        <w:rPr>
          <w:rFonts w:hint="eastAsia"/>
        </w:rPr>
      </w:pPr>
      <w:r>
        <w:rPr>
          <w:rFonts w:hint="eastAsia"/>
        </w:rPr>
        <w:t xml:space="preserve"> 2. 报到与候诊管理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自助报到：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通过扫码、身份证或手机号码报到。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预约患者自动进入候诊队列。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候诊轮号：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支持电子叫号系统，轮候病人依序就诊。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叫号提醒，支持短信、微信或屏幕显示。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急诊插队：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特殊患者（急诊、老年人、孕妇）优先处理机制。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候诊队列管理：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查看当前等候人数、预计等候时间。</w:t>
      </w: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pStyle w:val="2"/>
        <w:rPr>
          <w:rFonts w:hint="eastAsia"/>
        </w:rPr>
      </w:pPr>
      <w:r>
        <w:rPr>
          <w:rFonts w:hint="eastAsia"/>
        </w:rPr>
        <w:t xml:space="preserve"> 3. 诊疗管理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病历管理：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电子病历（EHR），医生可录入病史、体征、检查结果等。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历史病历查询，支持患者长期跟踪。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诊断与处方：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诊断输入，自动匹配ICD疾病编码。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处方开具，自动计算剂量、药品相互作用提醒。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检查与检验管理：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关联检验科，开具检查单（血液、影像、CT等）。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自动通知患者检查结果，支持在线查看报告。</w:t>
      </w:r>
    </w:p>
    <w:p>
      <w:pPr>
        <w:rPr>
          <w:rFonts w:hint="eastAsia" w:ascii="Calibri" w:hAnsi="Calibri" w:cs="Calibri"/>
          <w:color w:val="A6A6A6" w:themeColor="background1" w:themeShade="A6"/>
        </w:rPr>
      </w:pPr>
      <w:r>
        <w:rPr>
          <w:rFonts w:hint="eastAsia" w:ascii="Calibri" w:hAnsi="Calibri" w:cs="Calibri"/>
          <w:color w:val="A6A6A6" w:themeColor="background1" w:themeShade="A6"/>
        </w:rPr>
        <w:t xml:space="preserve"> 影像存储（PACS）：</w:t>
      </w:r>
    </w:p>
    <w:p>
      <w:pPr>
        <w:rPr>
          <w:rFonts w:hint="eastAsia" w:ascii="Calibri" w:hAnsi="Calibri" w:cs="Calibri"/>
          <w:color w:val="A6A6A6" w:themeColor="background1" w:themeShade="A6"/>
        </w:rPr>
      </w:pPr>
      <w:r>
        <w:rPr>
          <w:rFonts w:hint="eastAsia" w:ascii="Calibri" w:hAnsi="Calibri" w:cs="Calibri"/>
          <w:color w:val="A6A6A6" w:themeColor="background1" w:themeShade="A6"/>
        </w:rPr>
        <w:t xml:space="preserve">   关联医疗影像（X光、B超、CT）数据。</w:t>
      </w:r>
    </w:p>
    <w:p>
      <w:pPr>
        <w:rPr>
          <w:rFonts w:hint="eastAsia" w:ascii="Calibri" w:hAnsi="Calibri" w:cs="Calibri"/>
          <w:color w:val="A6A6A6" w:themeColor="background1" w:themeShade="A6"/>
        </w:rPr>
      </w:pPr>
      <w:r>
        <w:rPr>
          <w:rFonts w:hint="eastAsia" w:ascii="Calibri" w:hAnsi="Calibri" w:cs="Calibri"/>
          <w:color w:val="A6A6A6" w:themeColor="background1" w:themeShade="A6"/>
        </w:rPr>
        <w:t xml:space="preserve">   影像结果存档，支持医生阅片。</w:t>
      </w:r>
    </w:p>
    <w:p>
      <w:pPr>
        <w:rPr>
          <w:rFonts w:hint="eastAsia" w:ascii="Calibri" w:hAnsi="Calibri" w:cs="Calibri"/>
          <w:color w:val="A6A6A6" w:themeColor="background1" w:themeShade="A6"/>
        </w:rPr>
      </w:pPr>
      <w:r>
        <w:rPr>
          <w:rFonts w:hint="eastAsia" w:ascii="Calibri" w:hAnsi="Calibri" w:cs="Calibri"/>
          <w:color w:val="A6A6A6" w:themeColor="background1" w:themeShade="A6"/>
        </w:rPr>
        <w:t xml:space="preserve"> 医生工作站：</w:t>
      </w:r>
    </w:p>
    <w:p>
      <w:pPr>
        <w:rPr>
          <w:rFonts w:hint="eastAsia" w:ascii="Calibri" w:hAnsi="Calibri" w:cs="Calibri"/>
          <w:color w:val="A6A6A6" w:themeColor="background1" w:themeShade="A6"/>
        </w:rPr>
      </w:pPr>
      <w:r>
        <w:rPr>
          <w:rFonts w:hint="eastAsia" w:ascii="Calibri" w:hAnsi="Calibri" w:cs="Calibri"/>
          <w:color w:val="A6A6A6" w:themeColor="background1" w:themeShade="A6"/>
        </w:rPr>
        <w:t xml:space="preserve">   医生工作台，支持快速查看患者病历、开具处方、检查单。</w:t>
      </w: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pStyle w:val="2"/>
        <w:rPr>
          <w:rFonts w:hint="eastAsia"/>
        </w:rPr>
      </w:pPr>
      <w:r>
        <w:rPr>
          <w:rFonts w:hint="eastAsia"/>
        </w:rPr>
        <w:t xml:space="preserve"> 4. 床位管理（适用于住院诊所）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床位分配：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住院患者床位安排，显示当前空闲床位。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床位状态管理：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空闲、占用、维修、消毒等状态调整。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床位收费：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计算住院费用，按天或按套餐收费。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护理记录：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记录每日护理情况，包括体温、血压等数据。</w:t>
      </w: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pStyle w:val="2"/>
        <w:rPr>
          <w:rFonts w:hint="eastAsia"/>
          <w:color w:val="E46C0A" w:themeColor="accent6" w:themeShade="BF"/>
        </w:rPr>
      </w:pPr>
      <w:r>
        <w:rPr>
          <w:rFonts w:hint="eastAsia"/>
          <w:color w:val="E46C0A" w:themeColor="accent6" w:themeShade="BF"/>
        </w:rPr>
        <w:t xml:space="preserve"> 5. 抓药与派药管理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药房抓药：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自动生成药方，药师按处方调配药物。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关联库存，药品不足时提醒补货。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药品发放：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患者到药房扫码领取，记录取药时间。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电子化取药通知，减少人工排队。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中药与西药支持：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支持颗粒、中药汤剂、西药片剂等多种配药方式。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药品管理：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维护药品信息、生产厂家、批次号、有效期。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支持药品批量进货、库存管理、过期提醒。</w:t>
      </w: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pStyle w:val="2"/>
        <w:rPr>
          <w:rFonts w:hint="eastAsia"/>
          <w:color w:val="E46C0A" w:themeColor="accent6" w:themeShade="BF"/>
        </w:rPr>
      </w:pPr>
      <w:r>
        <w:rPr>
          <w:rFonts w:hint="eastAsia"/>
          <w:color w:val="E46C0A" w:themeColor="accent6" w:themeShade="BF"/>
        </w:rPr>
        <w:t xml:space="preserve"> 6. 收银与财务管理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费用结算：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自动计算挂号费、检查费、治疗费、药品费等。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支持现金、银行卡、支付宝、微信支付等方式。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医保对接：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连接医保结算系统，实现医保患者报销。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账单查询：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电子账单存档，患者可随时查询历史支付记录。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日结报表：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统计每日收入，生成财务报表，支持导出Excel。</w:t>
      </w: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pStyle w:val="2"/>
        <w:rPr>
          <w:rFonts w:hint="eastAsia"/>
          <w:color w:val="E46C0A" w:themeColor="accent6" w:themeShade="BF"/>
        </w:rPr>
      </w:pPr>
      <w:r>
        <w:rPr>
          <w:rFonts w:hint="eastAsia"/>
          <w:color w:val="E46C0A" w:themeColor="accent6" w:themeShade="BF"/>
        </w:rPr>
        <w:t xml:space="preserve"> 7. 患者管理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患者档案：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存储患者基本信息、联系方式、过敏史、慢病史等。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健康档案：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记录患者长期健康数据，如血糖、血压变化趋势。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随访管理：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针对特定病人（慢性病、手术后康复）设定随访计划。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发送定期提醒，医生可在线查看患者反馈。</w:t>
      </w: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pStyle w:val="2"/>
        <w:rPr>
          <w:rFonts w:hint="eastAsia"/>
          <w:color w:val="E46C0A" w:themeColor="accent6" w:themeShade="BF"/>
        </w:rPr>
      </w:pPr>
      <w:r>
        <w:rPr>
          <w:rFonts w:hint="eastAsia"/>
          <w:color w:val="E46C0A" w:themeColor="accent6" w:themeShade="BF"/>
        </w:rPr>
        <w:t xml:space="preserve"> 8. 报表与数据分析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门诊流量统计：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统计每天、每周、每月的患者数量及科室就诊情况。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医生工作量统计：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统计每位医生接诊的患者数量、开具的处方量等。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药品使用统计：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统计药品使用量、库存消耗情况，优化采购计划。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财务收入分析：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统计挂号费、诊疗费、药品销售等收入数据。</w:t>
      </w: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pStyle w:val="2"/>
        <w:rPr>
          <w:rFonts w:hint="eastAsia"/>
          <w:color w:val="E46C0A" w:themeColor="accent6" w:themeShade="BF"/>
        </w:rPr>
      </w:pPr>
      <w:r>
        <w:rPr>
          <w:rFonts w:hint="eastAsia"/>
          <w:color w:val="E46C0A" w:themeColor="accent6" w:themeShade="BF"/>
        </w:rPr>
        <w:t xml:space="preserve"> 9. 访问控制与系统管理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权限</w:t>
      </w:r>
      <w:bookmarkStart w:id="0" w:name="_GoBack"/>
      <w:bookmarkEnd w:id="0"/>
      <w:r>
        <w:rPr>
          <w:rFonts w:hint="eastAsia" w:ascii="Calibri" w:hAnsi="Calibri" w:cs="Calibri"/>
          <w:color w:val="E46C0A" w:themeColor="accent6" w:themeShade="BF"/>
        </w:rPr>
        <w:t>管理：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管理员、医生、护士、药师、财务等角色分级授权。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日志审计：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记录所有操作日志，防止数据篡改。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数据备份：</w:t>
      </w:r>
    </w:p>
    <w:p>
      <w:pPr>
        <w:rPr>
          <w:rFonts w:hint="eastAsia" w:ascii="Calibri" w:hAnsi="Calibri" w:cs="Calibri"/>
          <w:color w:val="E46C0A" w:themeColor="accent6" w:themeShade="BF"/>
        </w:rPr>
      </w:pPr>
      <w:r>
        <w:rPr>
          <w:rFonts w:hint="eastAsia" w:ascii="Calibri" w:hAnsi="Calibri" w:cs="Calibri"/>
          <w:color w:val="E46C0A" w:themeColor="accent6" w:themeShade="BF"/>
        </w:rPr>
        <w:t xml:space="preserve">   定期自动备份数据库，防止数据丢失。</w:t>
      </w: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</w:rPr>
      </w:pPr>
    </w:p>
    <w:p>
      <w:pPr>
        <w:rPr>
          <w:rFonts w:hint="eastAsia" w:ascii="Calibri" w:hAnsi="Calibri" w:cs="Calibri"/>
        </w:rPr>
      </w:pPr>
      <w:r>
        <w:rPr>
          <w:rFonts w:hint="eastAsia" w:ascii="Calibri" w:hAnsi="Calibri" w:cs="Calibri"/>
        </w:rPr>
        <w:t xml:space="preserve"> 适用场景</w:t>
      </w:r>
    </w:p>
    <w:p>
      <w:pPr>
        <w:rPr>
          <w:rFonts w:hint="eastAsia" w:ascii="Calibri" w:hAnsi="Calibri" w:cs="Calibri"/>
        </w:rPr>
      </w:pPr>
      <w:r>
        <w:rPr>
          <w:rFonts w:hint="eastAsia" w:ascii="Calibri" w:hAnsi="Calibri" w:cs="Calibri"/>
        </w:rPr>
        <w:t xml:space="preserve"> 社区诊所：适合小型医疗机构，管理日常门诊业务。</w:t>
      </w:r>
    </w:p>
    <w:p>
      <w:pPr>
        <w:rPr>
          <w:rFonts w:hint="eastAsia" w:ascii="Calibri" w:hAnsi="Calibri" w:cs="Calibri"/>
        </w:rPr>
      </w:pPr>
      <w:r>
        <w:rPr>
          <w:rFonts w:hint="eastAsia" w:ascii="Calibri" w:hAnsi="Calibri" w:cs="Calibri"/>
        </w:rPr>
        <w:t xml:space="preserve"> 专科诊所：如口腔科、中医馆、骨科诊所等，可定制专科模块。</w:t>
      </w:r>
    </w:p>
    <w:p>
      <w:pPr>
        <w:rPr>
          <w:rFonts w:hint="eastAsia" w:ascii="Calibri" w:hAnsi="Calibri" w:cs="Calibri"/>
        </w:rPr>
      </w:pPr>
      <w:r>
        <w:rPr>
          <w:rFonts w:hint="eastAsia" w:ascii="Calibri" w:hAnsi="Calibri" w:cs="Calibri"/>
        </w:rPr>
        <w:t xml:space="preserve"> 综合诊所：支持多科室、多医生协作，提高管理效率。</w:t>
      </w:r>
    </w:p>
    <w:p>
      <w:pPr>
        <w:rPr>
          <w:rFonts w:ascii="Calibri" w:hAnsi="Calibri" w:cs="Calibri"/>
        </w:rPr>
      </w:pPr>
      <w:r>
        <w:rPr>
          <w:rFonts w:hint="eastAsia" w:ascii="Calibri" w:hAnsi="Calibri" w:cs="Calibri"/>
        </w:rPr>
        <w:t xml:space="preserve">这套系统能帮助诊所提升运营效率、减少人工管理成本、优化患者体验。  </w:t>
      </w:r>
    </w:p>
    <w:p>
      <w:pPr>
        <w:rPr>
          <w:rFonts w:ascii="Utsaah" w:hAnsi="Utsaah" w:cs="Utsaah"/>
          <w:sz w:val="40"/>
          <w:szCs w:val="40"/>
        </w:rPr>
      </w:pPr>
    </w:p>
    <w:p>
      <w:pPr>
        <w:rPr>
          <w:rFonts w:ascii="Utsaah" w:hAnsi="Utsaah" w:cs="Utsaah"/>
          <w:sz w:val="40"/>
          <w:szCs w:val="40"/>
        </w:rPr>
      </w:pPr>
      <w:r>
        <w:rPr>
          <w:rFonts w:hint="eastAsia" w:ascii="Utsaah" w:hAnsi="Utsaah" w:cs="Utsaah"/>
          <w:sz w:val="40"/>
          <w:szCs w:val="40"/>
        </w:rPr>
        <w:t xml:space="preserve">Powered by </w:t>
      </w:r>
      <w:r>
        <w:rPr>
          <w:rFonts w:ascii="Utsaah" w:hAnsi="Utsaah" w:cs="Utsaah"/>
          <w:sz w:val="40"/>
          <w:szCs w:val="40"/>
        </w:rPr>
        <w:t xml:space="preserve">Xander Ray </w:t>
      </w:r>
      <w:r>
        <w:rPr>
          <w:rFonts w:hint="eastAsia" w:ascii="Utsaah" w:hAnsi="Utsaah" w:cs="Utsaah"/>
          <w:sz w:val="40"/>
          <w:szCs w:val="40"/>
        </w:rPr>
        <w:t xml:space="preserve">, </w:t>
      </w:r>
      <w:r>
        <w:rPr>
          <w:rFonts w:ascii="Utsaah" w:hAnsi="Utsaah" w:cs="Utsaah"/>
          <w:sz w:val="40"/>
          <w:szCs w:val="40"/>
        </w:rPr>
        <w:t>caffz.com</w:t>
      </w:r>
    </w:p>
    <w:p>
      <w:pPr>
        <w:rPr>
          <w:rFonts w:ascii="Utsaah" w:hAnsi="Utsaah" w:cs="Utsaah"/>
          <w:sz w:val="40"/>
          <w:szCs w:val="40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Utsaah">
    <w:altName w:val="Segoe Print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lang w:val="zh-CN"/>
      </w:rP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- 8 -</w:t>
    </w:r>
    <w:r>
      <w:fldChar w:fldCharType="end"/>
    </w:r>
    <w:r>
      <w:rPr>
        <w:lang w:val="zh-CN"/>
      </w:rPr>
      <w:t xml:space="preserve"> / </w:t>
    </w:r>
    <w:r>
      <w:fldChar w:fldCharType="begin"/>
    </w:r>
    <w:r>
      <w:instrText xml:space="preserve"> NUMPAGES  </w:instrText>
    </w:r>
    <w:r>
      <w:fldChar w:fldCharType="separate"/>
    </w:r>
    <w:r>
      <w:t>9</w:t>
    </w:r>
    <w: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jc w:val="right"/>
    </w:pPr>
    <w:r>
      <w:t>C</w:t>
    </w:r>
    <w:r>
      <w:rPr>
        <w:rFonts w:hint="eastAsia"/>
      </w:rPr>
      <w:t>affz.com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AD4"/>
    <w:rsid w:val="0000164E"/>
    <w:rsid w:val="0000329F"/>
    <w:rsid w:val="00012DDB"/>
    <w:rsid w:val="00034908"/>
    <w:rsid w:val="000431A7"/>
    <w:rsid w:val="00077054"/>
    <w:rsid w:val="00083F9D"/>
    <w:rsid w:val="000B0974"/>
    <w:rsid w:val="00105159"/>
    <w:rsid w:val="00133E6D"/>
    <w:rsid w:val="00153475"/>
    <w:rsid w:val="001D2485"/>
    <w:rsid w:val="00201653"/>
    <w:rsid w:val="00242E19"/>
    <w:rsid w:val="002659A1"/>
    <w:rsid w:val="00276890"/>
    <w:rsid w:val="002A4EA2"/>
    <w:rsid w:val="002F37E7"/>
    <w:rsid w:val="0031693E"/>
    <w:rsid w:val="003217B0"/>
    <w:rsid w:val="00361FC8"/>
    <w:rsid w:val="00370207"/>
    <w:rsid w:val="00370986"/>
    <w:rsid w:val="00380B20"/>
    <w:rsid w:val="003A5736"/>
    <w:rsid w:val="003A60D0"/>
    <w:rsid w:val="003B54F1"/>
    <w:rsid w:val="00400D8A"/>
    <w:rsid w:val="00414B6B"/>
    <w:rsid w:val="00487CCC"/>
    <w:rsid w:val="004A58F3"/>
    <w:rsid w:val="004C1E06"/>
    <w:rsid w:val="004F6CE3"/>
    <w:rsid w:val="00520F6A"/>
    <w:rsid w:val="0054446B"/>
    <w:rsid w:val="00563FFB"/>
    <w:rsid w:val="005A6EE2"/>
    <w:rsid w:val="005E24CE"/>
    <w:rsid w:val="00621BFE"/>
    <w:rsid w:val="00653B39"/>
    <w:rsid w:val="006679E0"/>
    <w:rsid w:val="006F535A"/>
    <w:rsid w:val="00701543"/>
    <w:rsid w:val="00762099"/>
    <w:rsid w:val="00770C84"/>
    <w:rsid w:val="0078358D"/>
    <w:rsid w:val="00796595"/>
    <w:rsid w:val="007C3C23"/>
    <w:rsid w:val="007D2429"/>
    <w:rsid w:val="0082177C"/>
    <w:rsid w:val="0088190D"/>
    <w:rsid w:val="008840F5"/>
    <w:rsid w:val="008862C1"/>
    <w:rsid w:val="00941847"/>
    <w:rsid w:val="009A77B2"/>
    <w:rsid w:val="00A116DC"/>
    <w:rsid w:val="00A16FBE"/>
    <w:rsid w:val="00A35274"/>
    <w:rsid w:val="00A40DD5"/>
    <w:rsid w:val="00A50188"/>
    <w:rsid w:val="00AE3F5E"/>
    <w:rsid w:val="00B23D40"/>
    <w:rsid w:val="00B33407"/>
    <w:rsid w:val="00B46FA5"/>
    <w:rsid w:val="00B55328"/>
    <w:rsid w:val="00B85ED6"/>
    <w:rsid w:val="00BB6580"/>
    <w:rsid w:val="00C0536B"/>
    <w:rsid w:val="00C8345F"/>
    <w:rsid w:val="00CE2AE8"/>
    <w:rsid w:val="00D030F0"/>
    <w:rsid w:val="00D424C6"/>
    <w:rsid w:val="00D83740"/>
    <w:rsid w:val="00E36545"/>
    <w:rsid w:val="00ED0AD4"/>
    <w:rsid w:val="00EE1297"/>
    <w:rsid w:val="00EF6B4F"/>
    <w:rsid w:val="00F22FF2"/>
    <w:rsid w:val="00F46C45"/>
    <w:rsid w:val="00F51809"/>
    <w:rsid w:val="00F60201"/>
    <w:rsid w:val="024D30CB"/>
    <w:rsid w:val="03AF480C"/>
    <w:rsid w:val="04536C72"/>
    <w:rsid w:val="057D3E39"/>
    <w:rsid w:val="05A33136"/>
    <w:rsid w:val="05AA3796"/>
    <w:rsid w:val="074A4425"/>
    <w:rsid w:val="0898481C"/>
    <w:rsid w:val="096D071A"/>
    <w:rsid w:val="09EF74B4"/>
    <w:rsid w:val="0AA75FE7"/>
    <w:rsid w:val="0AD80B2F"/>
    <w:rsid w:val="0B9F3F86"/>
    <w:rsid w:val="0BFE36E1"/>
    <w:rsid w:val="0C492FEA"/>
    <w:rsid w:val="0E485469"/>
    <w:rsid w:val="0F4F79D5"/>
    <w:rsid w:val="0FD86B39"/>
    <w:rsid w:val="100018FD"/>
    <w:rsid w:val="11285E8F"/>
    <w:rsid w:val="11E1616D"/>
    <w:rsid w:val="11F47012"/>
    <w:rsid w:val="126B11C7"/>
    <w:rsid w:val="13EB661E"/>
    <w:rsid w:val="152F576D"/>
    <w:rsid w:val="15BE2C2E"/>
    <w:rsid w:val="1624130F"/>
    <w:rsid w:val="1B736BEB"/>
    <w:rsid w:val="1D0206A9"/>
    <w:rsid w:val="1D87707D"/>
    <w:rsid w:val="1E973A89"/>
    <w:rsid w:val="20B26FF2"/>
    <w:rsid w:val="21E938EB"/>
    <w:rsid w:val="23B40AFA"/>
    <w:rsid w:val="24630864"/>
    <w:rsid w:val="24DC6B92"/>
    <w:rsid w:val="25B34235"/>
    <w:rsid w:val="25EF13A1"/>
    <w:rsid w:val="28132101"/>
    <w:rsid w:val="283D35DD"/>
    <w:rsid w:val="2861542C"/>
    <w:rsid w:val="2B584E9E"/>
    <w:rsid w:val="2BFE1FE5"/>
    <w:rsid w:val="2D2E071F"/>
    <w:rsid w:val="2DB36608"/>
    <w:rsid w:val="2E180BFF"/>
    <w:rsid w:val="2ED056EA"/>
    <w:rsid w:val="2FE60911"/>
    <w:rsid w:val="3329373F"/>
    <w:rsid w:val="33982E59"/>
    <w:rsid w:val="34A61903"/>
    <w:rsid w:val="35F2754D"/>
    <w:rsid w:val="367831E8"/>
    <w:rsid w:val="370E1B58"/>
    <w:rsid w:val="38F5328E"/>
    <w:rsid w:val="390178B9"/>
    <w:rsid w:val="3A046DB8"/>
    <w:rsid w:val="3B1655F6"/>
    <w:rsid w:val="3BCC738A"/>
    <w:rsid w:val="3C9A3093"/>
    <w:rsid w:val="3CBD04BA"/>
    <w:rsid w:val="3DC7445D"/>
    <w:rsid w:val="406F04BD"/>
    <w:rsid w:val="41DD2595"/>
    <w:rsid w:val="426716C8"/>
    <w:rsid w:val="452B687E"/>
    <w:rsid w:val="46AD2CB0"/>
    <w:rsid w:val="47050EBE"/>
    <w:rsid w:val="475855C4"/>
    <w:rsid w:val="47D4467A"/>
    <w:rsid w:val="48390D30"/>
    <w:rsid w:val="4AAC05AC"/>
    <w:rsid w:val="4AC95DD5"/>
    <w:rsid w:val="4AEF58F2"/>
    <w:rsid w:val="4BA05595"/>
    <w:rsid w:val="4BCA79C2"/>
    <w:rsid w:val="4CA31CDB"/>
    <w:rsid w:val="4E7A0F53"/>
    <w:rsid w:val="5035197B"/>
    <w:rsid w:val="52850E67"/>
    <w:rsid w:val="568512CB"/>
    <w:rsid w:val="56B4788D"/>
    <w:rsid w:val="58D61DF3"/>
    <w:rsid w:val="58FA67B5"/>
    <w:rsid w:val="5AEB148A"/>
    <w:rsid w:val="60727F5F"/>
    <w:rsid w:val="60C33206"/>
    <w:rsid w:val="60C87B4E"/>
    <w:rsid w:val="60E57328"/>
    <w:rsid w:val="60EE0AF0"/>
    <w:rsid w:val="61291CC5"/>
    <w:rsid w:val="666235D4"/>
    <w:rsid w:val="69350DAC"/>
    <w:rsid w:val="6940555D"/>
    <w:rsid w:val="6A7519F4"/>
    <w:rsid w:val="6B646513"/>
    <w:rsid w:val="6B843E75"/>
    <w:rsid w:val="6BDB7AC3"/>
    <w:rsid w:val="6BFB18C2"/>
    <w:rsid w:val="6C6F439F"/>
    <w:rsid w:val="6E522959"/>
    <w:rsid w:val="6FC202F5"/>
    <w:rsid w:val="701D64E6"/>
    <w:rsid w:val="70F0544C"/>
    <w:rsid w:val="714E0CD7"/>
    <w:rsid w:val="729A4E8C"/>
    <w:rsid w:val="72BE53BA"/>
    <w:rsid w:val="72CA7686"/>
    <w:rsid w:val="73C00265"/>
    <w:rsid w:val="7562711A"/>
    <w:rsid w:val="761374B7"/>
    <w:rsid w:val="76F70B64"/>
    <w:rsid w:val="7B890844"/>
    <w:rsid w:val="7C336241"/>
    <w:rsid w:val="7D6C2DEC"/>
    <w:rsid w:val="7E56441B"/>
    <w:rsid w:val="7E6C3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qFormat="1" w:uiPriority="99" w:semiHidden="0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Theme="minorHAnsi" w:hAnsiTheme="minorHAnsi" w:eastAsiaTheme="minorEastAsia" w:cstheme="minorBidi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link w:val="20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paragraph" w:styleId="4">
    <w:name w:val="heading 3"/>
    <w:basedOn w:val="1"/>
    <w:next w:val="1"/>
    <w:link w:val="21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paragraph" w:styleId="5">
    <w:name w:val="heading 4"/>
    <w:basedOn w:val="1"/>
    <w:next w:val="1"/>
    <w:link w:val="26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Cs w:val="28"/>
    </w:rPr>
  </w:style>
  <w:style w:type="paragraph" w:styleId="6">
    <w:name w:val="heading 5"/>
    <w:basedOn w:val="1"/>
    <w:next w:val="1"/>
    <w:link w:val="27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Cs w:val="28"/>
    </w:rPr>
  </w:style>
  <w:style w:type="character" w:default="1" w:styleId="14">
    <w:name w:val="Default Paragraph Font"/>
    <w:unhideWhenUsed/>
    <w:qFormat/>
    <w:uiPriority w:val="1"/>
  </w:style>
  <w:style w:type="table" w:default="1" w:styleId="18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toc 3"/>
    <w:basedOn w:val="1"/>
    <w:next w:val="1"/>
    <w:unhideWhenUsed/>
    <w:qFormat/>
    <w:uiPriority w:val="39"/>
    <w:pPr>
      <w:ind w:left="840" w:leftChars="400"/>
    </w:pPr>
  </w:style>
  <w:style w:type="paragraph" w:styleId="8">
    <w:name w:val="Balloon Text"/>
    <w:basedOn w:val="1"/>
    <w:link w:val="25"/>
    <w:unhideWhenUsed/>
    <w:uiPriority w:val="99"/>
    <w:rPr>
      <w:sz w:val="18"/>
      <w:szCs w:val="18"/>
    </w:rPr>
  </w:style>
  <w:style w:type="paragraph" w:styleId="9">
    <w:name w:val="footer"/>
    <w:basedOn w:val="1"/>
    <w:link w:val="2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unhideWhenUsed/>
    <w:qFormat/>
    <w:uiPriority w:val="39"/>
  </w:style>
  <w:style w:type="paragraph" w:styleId="12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5">
    <w:name w:val="Strong"/>
    <w:basedOn w:val="14"/>
    <w:qFormat/>
    <w:uiPriority w:val="22"/>
    <w:rPr>
      <w:b/>
      <w:bCs/>
    </w:rPr>
  </w:style>
  <w:style w:type="character" w:styleId="16">
    <w:name w:val="Hyperlink"/>
    <w:basedOn w:val="14"/>
    <w:unhideWhenUsed/>
    <w:qFormat/>
    <w:uiPriority w:val="99"/>
    <w:rPr>
      <w:color w:val="0000FF"/>
      <w:u w:val="single"/>
    </w:rPr>
  </w:style>
  <w:style w:type="character" w:styleId="17">
    <w:name w:val="HTML Code"/>
    <w:basedOn w:val="14"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customStyle="1" w:styleId="19">
    <w:name w:val="标题 1 Char"/>
    <w:basedOn w:val="14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20">
    <w:name w:val="标题 2 Char"/>
    <w:basedOn w:val="14"/>
    <w:link w:val="3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21">
    <w:name w:val="标题 3 Char"/>
    <w:basedOn w:val="14"/>
    <w:link w:val="4"/>
    <w:qFormat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22">
    <w:name w:val="页眉 Char"/>
    <w:basedOn w:val="14"/>
    <w:link w:val="10"/>
    <w:qFormat/>
    <w:uiPriority w:val="99"/>
    <w:rPr>
      <w:sz w:val="18"/>
      <w:szCs w:val="18"/>
    </w:rPr>
  </w:style>
  <w:style w:type="character" w:customStyle="1" w:styleId="23">
    <w:name w:val="页脚 Char"/>
    <w:basedOn w:val="14"/>
    <w:link w:val="9"/>
    <w:qFormat/>
    <w:uiPriority w:val="99"/>
    <w:rPr>
      <w:sz w:val="18"/>
      <w:szCs w:val="18"/>
    </w:rPr>
  </w:style>
  <w:style w:type="paragraph" w:customStyle="1" w:styleId="24">
    <w:name w:val="TOC Heading"/>
    <w:basedOn w:val="2"/>
    <w:next w:val="1"/>
    <w:unhideWhenUsed/>
    <w:qFormat/>
    <w:uiPriority w:val="39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hAnsiTheme="majorHAnsi" w:eastAsiaTheme="majorEastAsia" w:cstheme="majorBidi"/>
      <w:color w:val="376092" w:themeColor="accent1" w:themeShade="BF"/>
      <w:kern w:val="0"/>
      <w:sz w:val="28"/>
      <w:szCs w:val="28"/>
    </w:rPr>
  </w:style>
  <w:style w:type="character" w:customStyle="1" w:styleId="25">
    <w:name w:val="批注框文本 Char"/>
    <w:basedOn w:val="14"/>
    <w:link w:val="8"/>
    <w:semiHidden/>
    <w:qFormat/>
    <w:uiPriority w:val="99"/>
    <w:rPr>
      <w:sz w:val="18"/>
      <w:szCs w:val="18"/>
    </w:rPr>
  </w:style>
  <w:style w:type="character" w:customStyle="1" w:styleId="26">
    <w:name w:val="标题 4 Char"/>
    <w:basedOn w:val="14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7">
    <w:name w:val="标题 5 Char"/>
    <w:basedOn w:val="14"/>
    <w:link w:val="6"/>
    <w:qFormat/>
    <w:uiPriority w:val="9"/>
    <w:rPr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8BA6D7-F1F6-4D92-9D57-8D68CA42AA2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9</Pages>
  <Words>371</Words>
  <Characters>2121</Characters>
  <Lines>17</Lines>
  <Paragraphs>4</Paragraphs>
  <ScaleCrop>false</ScaleCrop>
  <LinksUpToDate>false</LinksUpToDate>
  <CharactersWithSpaces>2488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2025-02-22T03:07:00Z</dcterms:created>
  <dc:creator>xb21cn</dc:creator>
  <cp:lastModifiedBy>Admin</cp:lastModifiedBy>
  <dcterms:modified xsi:type="dcterms:W3CDTF">2025-03-03T08:35:07Z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